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D70311" w14:paraId="67E0F7C4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19C8CD8C" w14:textId="77777777" w:rsidR="00D70311" w:rsidRDefault="002761FA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4.8</w:t>
            </w:r>
          </w:p>
        </w:tc>
        <w:tc>
          <w:tcPr>
            <w:tcW w:w="7015" w:type="dxa"/>
            <w:shd w:val="clear" w:color="auto" w:fill="E6E7E8"/>
          </w:tcPr>
          <w:p w14:paraId="47822C0E" w14:textId="77777777" w:rsidR="00D70311" w:rsidRDefault="002761FA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Algorithm for Privilege Criteria Development</w:t>
            </w:r>
          </w:p>
        </w:tc>
      </w:tr>
      <w:tr w:rsidR="00D70311" w14:paraId="68DFFA93" w14:textId="77777777">
        <w:trPr>
          <w:trHeight w:val="11990"/>
        </w:trPr>
        <w:tc>
          <w:tcPr>
            <w:tcW w:w="9350" w:type="dxa"/>
            <w:gridSpan w:val="2"/>
          </w:tcPr>
          <w:p w14:paraId="3C8DFC82" w14:textId="77777777" w:rsidR="00D70311" w:rsidRDefault="00D70311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2E1CED0E" w14:textId="6DA61E50" w:rsidR="00D70311" w:rsidRDefault="002761FA">
            <w:pPr>
              <w:pStyle w:val="TableParagraph"/>
              <w:tabs>
                <w:tab w:val="left" w:pos="6175"/>
              </w:tabs>
              <w:spacing w:before="16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New </w:t>
            </w:r>
            <w:r>
              <w:rPr>
                <w:color w:val="231F20"/>
                <w:spacing w:val="-3"/>
                <w:w w:val="95"/>
                <w:sz w:val="20"/>
              </w:rPr>
              <w:t>privilege/device/procedure: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26BF0628" w14:textId="77777777" w:rsidR="00D70311" w:rsidRDefault="00D70311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095BFEBB" w14:textId="77777777" w:rsidR="00D70311" w:rsidRDefault="00D70311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29480960" w14:textId="77777777" w:rsidR="00D70311" w:rsidRDefault="002761FA">
            <w:pPr>
              <w:pStyle w:val="TableParagraph"/>
              <w:tabs>
                <w:tab w:val="left" w:pos="2753"/>
                <w:tab w:val="left" w:pos="2959"/>
                <w:tab w:val="left" w:pos="7499"/>
              </w:tabs>
              <w:spacing w:before="0" w:line="427" w:lineRule="auto"/>
              <w:ind w:right="1838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Service</w:t>
            </w:r>
            <w:r>
              <w:rPr>
                <w:color w:val="231F20"/>
                <w:spacing w:val="-2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line</w:t>
            </w:r>
            <w:r>
              <w:rPr>
                <w:color w:val="231F20"/>
                <w:spacing w:val="-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chief: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Conforms with </w:t>
            </w:r>
            <w:r>
              <w:rPr>
                <w:color w:val="231F20"/>
                <w:spacing w:val="-5"/>
                <w:sz w:val="20"/>
              </w:rPr>
              <w:t>hospital’s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mission:</w:t>
            </w:r>
          </w:p>
          <w:p w14:paraId="4B9C7F9E" w14:textId="571B5DD1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spacing w:before="0" w:line="245" w:lineRule="exact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  <w:t>STOP!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PROCEED</w:t>
            </w:r>
          </w:p>
          <w:p w14:paraId="4DD89EC6" w14:textId="77777777" w:rsidR="00D70311" w:rsidRDefault="002761FA">
            <w:pPr>
              <w:pStyle w:val="TableParagraph"/>
              <w:spacing w:before="167"/>
              <w:rPr>
                <w:sz w:val="20"/>
              </w:rPr>
            </w:pPr>
            <w:r>
              <w:rPr>
                <w:color w:val="231F20"/>
                <w:sz w:val="20"/>
              </w:rPr>
              <w:t>Clinically effective:</w:t>
            </w:r>
          </w:p>
          <w:p w14:paraId="0A4FEB9F" w14:textId="233D5E6E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spacing w:before="16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  <w:t>STOP!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PROCEED</w:t>
            </w:r>
          </w:p>
          <w:p w14:paraId="370EF67F" w14:textId="77777777" w:rsidR="00D70311" w:rsidRDefault="002761FA">
            <w:pPr>
              <w:pStyle w:val="TableParagraph"/>
              <w:spacing w:before="166"/>
              <w:rPr>
                <w:sz w:val="20"/>
              </w:rPr>
            </w:pPr>
            <w:r>
              <w:rPr>
                <w:color w:val="231F20"/>
                <w:sz w:val="20"/>
              </w:rPr>
              <w:t>Affects multiple specialties:</w:t>
            </w:r>
          </w:p>
          <w:p w14:paraId="541347C4" w14:textId="131BBE2C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PROCEED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sz w:val="20"/>
              </w:rPr>
              <w:t xml:space="preserve">INVOLVE </w:t>
            </w:r>
            <w:r>
              <w:rPr>
                <w:color w:val="231F20"/>
                <w:w w:val="105"/>
                <w:sz w:val="20"/>
              </w:rPr>
              <w:t xml:space="preserve">ALL </w:t>
            </w:r>
            <w:r>
              <w:rPr>
                <w:color w:val="231F20"/>
                <w:spacing w:val="-3"/>
                <w:w w:val="105"/>
                <w:sz w:val="20"/>
              </w:rPr>
              <w:t>NECESSARY</w:t>
            </w:r>
            <w:r>
              <w:rPr>
                <w:color w:val="231F20"/>
                <w:spacing w:val="-3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PARTIES</w:t>
            </w:r>
          </w:p>
          <w:p w14:paraId="02B51E0C" w14:textId="77777777" w:rsidR="00D70311" w:rsidRDefault="002761FA">
            <w:pPr>
              <w:pStyle w:val="TableParagraph"/>
              <w:spacing w:before="76"/>
              <w:ind w:left="3680"/>
              <w:rPr>
                <w:sz w:val="20"/>
              </w:rPr>
            </w:pPr>
            <w:r>
              <w:rPr>
                <w:color w:val="231F20"/>
                <w:sz w:val="20"/>
              </w:rPr>
              <w:t>(e.g., cardiology, anesthesiology, nursing staff)</w:t>
            </w:r>
          </w:p>
          <w:p w14:paraId="794E5ECA" w14:textId="77777777" w:rsidR="00D70311" w:rsidRDefault="002761FA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New to the organization, area, or country:</w:t>
            </w:r>
          </w:p>
          <w:p w14:paraId="4E976093" w14:textId="1914D27C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PROCEED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RESEARCH ALL</w:t>
            </w:r>
            <w:r>
              <w:rPr>
                <w:color w:val="231F20"/>
                <w:spacing w:val="-3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ASPECTS/OUTCOMES</w:t>
            </w:r>
          </w:p>
          <w:p w14:paraId="2060B541" w14:textId="77777777" w:rsidR="00D70311" w:rsidRDefault="002761FA">
            <w:pPr>
              <w:pStyle w:val="TableParagraph"/>
              <w:spacing w:before="76"/>
              <w:ind w:left="3680"/>
              <w:rPr>
                <w:sz w:val="20"/>
              </w:rPr>
            </w:pPr>
            <w:r>
              <w:rPr>
                <w:color w:val="231F20"/>
                <w:sz w:val="20"/>
              </w:rPr>
              <w:t>OF PROCEDURE/TREATMENT</w:t>
            </w:r>
          </w:p>
          <w:p w14:paraId="39164DE3" w14:textId="77777777" w:rsidR="00D70311" w:rsidRDefault="002761FA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Are expected risks greater than current/conventional therapy?</w:t>
            </w:r>
          </w:p>
          <w:p w14:paraId="27B6DE0D" w14:textId="288E160C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PROCEED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STOP!</w:t>
            </w:r>
          </w:p>
          <w:p w14:paraId="2D71515F" w14:textId="77777777" w:rsidR="00D70311" w:rsidRDefault="002761FA">
            <w:pPr>
              <w:pStyle w:val="TableParagraph"/>
              <w:spacing w:before="166"/>
              <w:rPr>
                <w:sz w:val="20"/>
              </w:rPr>
            </w:pPr>
            <w:r>
              <w:rPr>
                <w:color w:val="231F20"/>
                <w:sz w:val="20"/>
              </w:rPr>
              <w:t>Have other organizations developed criteria or privileges for this procedure/treatment?</w:t>
            </w:r>
          </w:p>
          <w:p w14:paraId="6F4B6946" w14:textId="741605D4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spacing w:before="16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z w:val="20"/>
              </w:rPr>
              <w:t>PROCEED</w:t>
            </w:r>
            <w:r>
              <w:rPr>
                <w:color w:val="231F20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spacing w:val="-4"/>
                <w:w w:val="105"/>
                <w:sz w:val="20"/>
              </w:rPr>
              <w:t>OBTAIN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INFORMATION</w:t>
            </w:r>
          </w:p>
          <w:p w14:paraId="3B129260" w14:textId="77777777" w:rsidR="00D70311" w:rsidRDefault="002761FA">
            <w:pPr>
              <w:pStyle w:val="TableParagraph"/>
              <w:spacing w:before="167"/>
              <w:rPr>
                <w:sz w:val="20"/>
              </w:rPr>
            </w:pPr>
            <w:r>
              <w:rPr>
                <w:color w:val="231F20"/>
                <w:sz w:val="20"/>
              </w:rPr>
              <w:t>Is this procedure/treatment an extension of current clinical skills and judgment?</w:t>
            </w:r>
          </w:p>
          <w:p w14:paraId="52862EBC" w14:textId="55F21E30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spacing w:before="167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  <w:t>STOP!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PROCEED</w:t>
            </w:r>
          </w:p>
          <w:p w14:paraId="00BBD58A" w14:textId="77777777" w:rsidR="00D70311" w:rsidRDefault="002761FA">
            <w:pPr>
              <w:pStyle w:val="TableParagraph"/>
              <w:spacing w:before="166"/>
              <w:rPr>
                <w:sz w:val="20"/>
              </w:rPr>
            </w:pPr>
            <w:r>
              <w:rPr>
                <w:color w:val="231F20"/>
                <w:sz w:val="20"/>
              </w:rPr>
              <w:t>Will procedure/treatment be added to existing core privileges?</w:t>
            </w:r>
          </w:p>
          <w:p w14:paraId="40FBD08C" w14:textId="162C713E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  <w:t>STOP!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PROCEED</w:t>
            </w:r>
          </w:p>
          <w:p w14:paraId="177C544B" w14:textId="77777777" w:rsidR="00D70311" w:rsidRDefault="002761FA">
            <w:pPr>
              <w:pStyle w:val="TableParagraph"/>
              <w:spacing w:before="166"/>
              <w:rPr>
                <w:sz w:val="20"/>
              </w:rPr>
            </w:pPr>
            <w:r>
              <w:rPr>
                <w:color w:val="231F20"/>
                <w:sz w:val="20"/>
              </w:rPr>
              <w:t>Have at least two credentials committee members agreed that criteria need to be developed?</w:t>
            </w:r>
          </w:p>
          <w:p w14:paraId="17BA807D" w14:textId="4BF3B536" w:rsidR="00D70311" w:rsidRDefault="002761FA">
            <w:pPr>
              <w:pStyle w:val="TableParagraph"/>
              <w:tabs>
                <w:tab w:val="left" w:pos="799"/>
                <w:tab w:val="left" w:pos="2959"/>
                <w:tab w:val="left" w:pos="367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spacing w:val="-23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No</w:t>
            </w:r>
            <w:r>
              <w:rPr>
                <w:color w:val="231F20"/>
                <w:w w:val="105"/>
                <w:sz w:val="20"/>
              </w:rPr>
              <w:tab/>
              <w:t>STOP!</w:t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ascii="MS UI Gothic"/>
                <w:color w:val="231F20"/>
                <w:spacing w:val="-28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05"/>
                <w:sz w:val="20"/>
              </w:rPr>
              <w:t>Yes</w:t>
            </w:r>
            <w:r>
              <w:rPr>
                <w:color w:val="231F20"/>
                <w:spacing w:val="-8"/>
                <w:w w:val="10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PROCEED</w:t>
            </w:r>
          </w:p>
        </w:tc>
      </w:tr>
    </w:tbl>
    <w:p w14:paraId="739CB7F6" w14:textId="77777777" w:rsidR="00000000" w:rsidRDefault="002761FA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311"/>
    <w:rsid w:val="002761FA"/>
    <w:rsid w:val="00D7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C0073"/>
  <w15:docId w15:val="{8795BB6E-EFF4-4027-A290-28DBA581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68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2019-03-13T14:17:00Z</dcterms:created>
  <dcterms:modified xsi:type="dcterms:W3CDTF">2019-03-13T14:19:00Z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